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SimHei" w:hAnsi="SimHei" w:eastAsia="黑体"/>
          <w:b/>
          <w:color w:val="000000"/>
          <w:sz w:val="40"/>
        </w:rPr>
        <w:t>大白话 · PLAINLY 需求分析说明书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文档版本：V1.1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项目名称：行业黑话转换大白话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适用阶段：项目立项与需求评审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适用范围：产品规划、交互设计、研发实施与验收准备</w:t>
      </w:r>
    </w:p>
    <w:p>
      <w:pPr>
        <w:pStyle w:val="Heading1"/>
      </w:pPr>
      <w:r>
        <w:rPr>
          <w:rFonts w:ascii="SimHei" w:hAnsi="SimHei" w:eastAsia="黑体"/>
          <w:b/>
          <w:color w:val="000000"/>
          <w:sz w:val="30"/>
        </w:rPr>
        <w:t>1. 文档概述</w:t>
      </w:r>
    </w:p>
    <w:p>
      <w:pPr>
        <w:pStyle w:val="Heading2"/>
      </w:pPr>
      <w:r>
        <w:rPr>
          <w:rFonts w:ascii="SimHei" w:hAnsi="SimHei" w:eastAsia="黑体"/>
          <w:b/>
          <w:color w:val="000000"/>
          <w:sz w:val="24"/>
        </w:rPr>
        <w:t>1.1 编制目的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本说明书明确项目需要解决的问题、目标用户、业务目标、功能范围及实施约束，为产品设计、开发排期和验收标准提供依据。</w:t>
      </w:r>
    </w:p>
    <w:p>
      <w:pPr>
        <w:pStyle w:val="Heading2"/>
      </w:pPr>
      <w:r>
        <w:rPr>
          <w:rFonts w:ascii="SimHei" w:hAnsi="SimHei" w:eastAsia="黑体"/>
          <w:b/>
          <w:color w:val="000000"/>
          <w:sz w:val="24"/>
        </w:rPr>
        <w:t>1.2 分析范围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需求分析围绕术语查询、内容理解、使用反馈及运营管理展开。用户场景作为产品设计依据，后续通过可用性测试和运营数据验证。首期以查询与统计功能为建设重点，投稿及审核作为扩展需求独立管理。</w:t>
      </w:r>
    </w:p>
    <w:p>
      <w:pPr>
        <w:pStyle w:val="Heading1"/>
      </w:pPr>
      <w:r>
        <w:rPr>
          <w:rFonts w:ascii="SimHei" w:hAnsi="SimHei" w:eastAsia="黑体"/>
          <w:b/>
          <w:color w:val="000000"/>
          <w:sz w:val="30"/>
        </w:rPr>
        <w:t>2. 项目背景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行业术语广泛存在于工作沟通、专业资料和网络内容中。熟悉相关领域的用户能够借助术语提高沟通效率，但职场新人、跨部门协作者和普通读者往往需要额外查阅资料才能理解。同一表达在不同语境下还可能具有不同含义，仅提供字面定义难以满足实际使用需要。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项目拟建设轻量化术语查询网站，以简明解释、原句翻译和使用边界为主要内容，帮助用户理解陌生表达及其适用场景。网站以结构化词库为基础，不以任意长文本的自动翻译作为首期建设目标。</w:t>
      </w:r>
    </w:p>
    <w:p>
      <w:pPr>
        <w:pStyle w:val="Heading1"/>
      </w:pPr>
      <w:r>
        <w:rPr>
          <w:rFonts w:ascii="SimHei" w:hAnsi="SimHei" w:eastAsia="黑体"/>
          <w:b/>
          <w:color w:val="000000"/>
          <w:sz w:val="30"/>
        </w:rPr>
        <w:t>3. 用户需求分析</w:t>
      </w:r>
    </w:p>
    <w:p>
      <w:pPr>
        <w:pStyle w:val="Heading2"/>
      </w:pPr>
      <w:r>
        <w:rPr>
          <w:rFonts w:ascii="SimHei" w:hAnsi="SimHei" w:eastAsia="黑体"/>
          <w:b/>
          <w:color w:val="000000"/>
          <w:sz w:val="24"/>
        </w:rPr>
        <w:t>3.1 目标用户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154"/>
        <w:gridCol w:w="3154"/>
        <w:gridCol w:w="3154"/>
      </w:tblGrid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用户类型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典型场景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主要需求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职场新人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参加会议、阅读汇报或需求材料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快速理解常见工作表达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转行人员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学习新领域知识、准备岗位面试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系统了解分类下的高频术语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跨部门协作者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与研发、营销、运营等团队沟通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理解专业表达及上下文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普通内容读者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阅读资讯、观看视频或参与社群讨论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通过手机便捷查询陌生词语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内容运营人员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维护词库、安排内容更新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识别热门词条和内容缺口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网站管理员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查看网站使用情况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获取口径清晰的统计数据</w:t>
            </w:r>
          </w:p>
        </w:tc>
      </w:tr>
    </w:tbl>
    <w:p>
      <w:pPr>
        <w:spacing w:after="0"/>
      </w:pPr>
    </w:p>
    <w:p>
      <w:pPr>
        <w:pStyle w:val="Heading2"/>
      </w:pPr>
      <w:r>
        <w:rPr>
          <w:rFonts w:ascii="SimHei" w:hAnsi="SimHei" w:eastAsia="黑体"/>
          <w:b/>
          <w:color w:val="000000"/>
          <w:sz w:val="24"/>
        </w:rPr>
        <w:t>3.2 主要问题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154"/>
        <w:gridCol w:w="3154"/>
        <w:gridCol w:w="3154"/>
      </w:tblGrid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问题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需求分析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对应方案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解释理解门槛高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部分术语需要进一步查阅才能理解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优先提供一句话白话解释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缺少具体语境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知道字面意思仍难理解实际用法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提供使用原句及对应翻译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查询路径较长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内容分散，缺少统一入口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提供关键词搜索与分类浏览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容易忽略适用条件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简化表达可能造成误解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补充使用场景、歧义与理解边界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内容维护缺少依据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难以判断优先补充哪些词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提供搜索、无结果词及投票统计</w:t>
            </w:r>
          </w:p>
        </w:tc>
      </w:tr>
    </w:tbl>
    <w:p>
      <w:pPr>
        <w:spacing w:after="0"/>
      </w:pPr>
    </w:p>
    <w:p>
      <w:pPr>
        <w:pStyle w:val="Heading2"/>
      </w:pPr>
      <w:r>
        <w:rPr>
          <w:rFonts w:ascii="SimHei" w:hAnsi="SimHei" w:eastAsia="黑体"/>
          <w:b/>
          <w:color w:val="000000"/>
          <w:sz w:val="24"/>
        </w:rPr>
        <w:t>3.3 核心使用任务</w:t>
      </w:r>
    </w:p>
    <w:p>
      <w:pPr>
        <w:pStyle w:val="ListBullet"/>
      </w:pPr>
      <w:r>
        <w:rPr>
          <w:rFonts w:ascii="Microsoft YaHei" w:hAnsi="Microsoft YaHei" w:eastAsia="微软雅黑"/>
          <w:b w:val="0"/>
          <w:color w:val="000000"/>
          <w:sz w:val="21"/>
        </w:rPr>
        <w:t>通过词名、别名或缩写找到对应词条。</w:t>
      </w:r>
    </w:p>
    <w:p>
      <w:pPr>
        <w:pStyle w:val="ListBullet"/>
      </w:pPr>
      <w:r>
        <w:rPr>
          <w:rFonts w:ascii="Microsoft YaHei" w:hAnsi="Microsoft YaHei" w:eastAsia="微软雅黑"/>
          <w:b w:val="0"/>
          <w:color w:val="000000"/>
          <w:sz w:val="21"/>
        </w:rPr>
        <w:t>在词条详情中理解词义、例句及适用条件。</w:t>
      </w:r>
    </w:p>
    <w:p>
      <w:pPr>
        <w:pStyle w:val="ListBullet"/>
      </w:pPr>
      <w:r>
        <w:rPr>
          <w:rFonts w:ascii="Microsoft YaHei" w:hAnsi="Microsoft YaHei" w:eastAsia="微软雅黑"/>
          <w:b w:val="0"/>
          <w:color w:val="000000"/>
          <w:sz w:val="21"/>
        </w:rPr>
        <w:t>按分类浏览相关表达，继续查阅同类词条。</w:t>
      </w:r>
    </w:p>
    <w:p>
      <w:pPr>
        <w:pStyle w:val="ListBullet"/>
      </w:pPr>
      <w:r>
        <w:rPr>
          <w:rFonts w:ascii="Microsoft YaHei" w:hAnsi="Microsoft YaHei" w:eastAsia="微软雅黑"/>
          <w:b w:val="0"/>
          <w:color w:val="000000"/>
          <w:sz w:val="21"/>
        </w:rPr>
        <w:t>无需注册即可反馈是否遇到过某个表达。</w:t>
      </w:r>
    </w:p>
    <w:p>
      <w:pPr>
        <w:pStyle w:val="ListBullet"/>
      </w:pPr>
      <w:r>
        <w:rPr>
          <w:rFonts w:ascii="Microsoft YaHei" w:hAnsi="Microsoft YaHei" w:eastAsia="微软雅黑"/>
          <w:b w:val="0"/>
          <w:color w:val="000000"/>
          <w:sz w:val="21"/>
        </w:rPr>
        <w:t>查看分类投票榜，了解站内参与者的反馈。</w:t>
      </w:r>
    </w:p>
    <w:p>
      <w:pPr>
        <w:pStyle w:val="ListBullet"/>
      </w:pPr>
      <w:r>
        <w:rPr>
          <w:rFonts w:ascii="Microsoft YaHei" w:hAnsi="Microsoft YaHei" w:eastAsia="微软雅黑"/>
          <w:b w:val="0"/>
          <w:color w:val="000000"/>
          <w:sz w:val="21"/>
        </w:rPr>
        <w:t>管理员按时间范围查看访问、搜索和投票数据。</w:t>
      </w:r>
    </w:p>
    <w:p>
      <w:pPr>
        <w:pStyle w:val="Heading1"/>
      </w:pPr>
      <w:r>
        <w:rPr>
          <w:rFonts w:ascii="SimHei" w:hAnsi="SimHei" w:eastAsia="黑体"/>
          <w:b/>
          <w:color w:val="000000"/>
          <w:sz w:val="30"/>
        </w:rPr>
        <w:t>4. 产品定位与建设目标</w:t>
      </w:r>
    </w:p>
    <w:p>
      <w:pPr>
        <w:pStyle w:val="Heading2"/>
      </w:pPr>
      <w:r>
        <w:rPr>
          <w:rFonts w:ascii="SimHei" w:hAnsi="SimHei" w:eastAsia="黑体"/>
          <w:b/>
          <w:color w:val="000000"/>
          <w:sz w:val="24"/>
        </w:rPr>
        <w:t>4.1 产品定位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大白话 · PLAINLY 是面向中文用户的行业与圈层术语查询网站。产品以“解释清楚、查询方便、口径明确”为基本要求，服务于日常阅读、学习和沟通场景。</w:t>
      </w:r>
    </w:p>
    <w:p>
      <w:pPr>
        <w:pStyle w:val="Heading2"/>
      </w:pPr>
      <w:r>
        <w:rPr>
          <w:rFonts w:ascii="SimHei" w:hAnsi="SimHei" w:eastAsia="黑体"/>
          <w:b/>
          <w:color w:val="000000"/>
          <w:sz w:val="24"/>
        </w:rPr>
        <w:t>4.2 建设目标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154"/>
        <w:gridCol w:w="3154"/>
        <w:gridCol w:w="3154"/>
      </w:tblGrid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目标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评价方式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降低查词成本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提供直接、统一的查询入口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查词任务完成率、完成耗时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提高理解准确性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解释、例句与边界保持一致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内容审核、用户复述测试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建立内容维护依据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记录热门搜索与无结果词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形成可执行的内容更新清单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保证反馈可信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服务端限票、去重及持久化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重复、并发和重试测试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支持持续运行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内容发布与业务数据相互隔离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发布后数据保留、备份恢复验证</w:t>
            </w:r>
          </w:p>
        </w:tc>
      </w:tr>
    </w:tbl>
    <w:p>
      <w:pPr>
        <w:spacing w:after="0"/>
      </w:pPr>
    </w:p>
    <w:p>
      <w:r>
        <w:rPr>
          <w:rFonts w:ascii="Microsoft YaHei" w:hAnsi="Microsoft YaHei" w:eastAsia="微软雅黑"/>
          <w:b w:val="0"/>
          <w:color w:val="000000"/>
          <w:sz w:val="21"/>
        </w:rPr>
        <w:t>用户理解效果需通过专项测试评估，访问量和投票数不直接代表理解效果。运营目标值应结合试运行数据确定。</w:t>
      </w:r>
    </w:p>
    <w:p>
      <w:pPr>
        <w:pStyle w:val="Heading1"/>
      </w:pPr>
      <w:r>
        <w:rPr>
          <w:rFonts w:ascii="SimHei" w:hAnsi="SimHei" w:eastAsia="黑体"/>
          <w:b/>
          <w:color w:val="000000"/>
          <w:sz w:val="30"/>
        </w:rPr>
        <w:t>5. 建设范围与优先级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P0 为首期交付必需功能；P1 为体验增强功能；扩展需求需独立评审后纳入实施范围。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365"/>
        <w:gridCol w:w="2365"/>
        <w:gridCol w:w="2365"/>
        <w:gridCol w:w="2365"/>
      </w:tblGrid>
      <w:tr>
        <w:trPr>
          <w:cantSplit/>
        </w:trPr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需求项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交付要求</w:t>
            </w:r>
          </w:p>
        </w:tc>
      </w:tr>
      <w:tr>
        <w:trPr>
          <w:cantSplit/>
        </w:trPr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N-01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首页、分类及搜索入口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用户能够快速定位目标词条</w:t>
            </w:r>
          </w:p>
        </w:tc>
      </w:tr>
      <w:tr>
        <w:trPr>
          <w:cantSplit/>
        </w:trPr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N-02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词条详情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展示白话解释、例句、场景及边界</w:t>
            </w:r>
          </w:p>
        </w:tc>
      </w:tr>
      <w:tr>
        <w:trPr>
          <w:cantSplit/>
        </w:trPr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N-03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使用投票与分类榜单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支持有效投票及近 7 日、累计排行</w:t>
            </w:r>
          </w:p>
        </w:tc>
      </w:tr>
      <w:tr>
        <w:trPr>
          <w:cantSplit/>
        </w:trPr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N-04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管理员认证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服务端校验密码并管理登录会话</w:t>
            </w:r>
          </w:p>
        </w:tc>
      </w:tr>
      <w:tr>
        <w:trPr>
          <w:cantSplit/>
        </w:trPr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N-05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运营数据看板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展示真实访问、搜索和投票数据</w:t>
            </w:r>
          </w:p>
        </w:tc>
      </w:tr>
      <w:tr>
        <w:trPr>
          <w:cantSplit/>
        </w:trPr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N-06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统计与历史归档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事件去重、区间统计及月报留存</w:t>
            </w:r>
          </w:p>
        </w:tc>
      </w:tr>
      <w:tr>
        <w:trPr>
          <w:cantSplit/>
        </w:trPr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N-07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响应式与异常状态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支持手机访问，明确提示操作结果</w:t>
            </w:r>
          </w:p>
        </w:tc>
      </w:tr>
      <w:tr>
        <w:trPr>
          <w:cantSplit/>
        </w:trPr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N-08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稳定地址与静态内容访问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支持详情分享及基本搜索引擎访问</w:t>
            </w:r>
          </w:p>
        </w:tc>
      </w:tr>
      <w:tr>
        <w:trPr>
          <w:cantSplit/>
        </w:trPr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N-09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搜索建议、复制、随机发现与关联词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减少操作步骤，辅助内容探索</w:t>
            </w:r>
          </w:p>
        </w:tc>
      </w:tr>
      <w:tr>
        <w:trPr>
          <w:cantSplit/>
        </w:trPr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N-10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用户投稿、管理员审核与发布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扩展需求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独立定义字段、权限和状态流程</w:t>
            </w:r>
          </w:p>
        </w:tc>
      </w:tr>
    </w:tbl>
    <w:p>
      <w:pPr>
        <w:spacing w:after="0"/>
      </w:pPr>
    </w:p>
    <w:p>
      <w:pPr>
        <w:pStyle w:val="Heading2"/>
      </w:pPr>
      <w:r>
        <w:rPr>
          <w:rFonts w:ascii="SimHei" w:hAnsi="SimHei" w:eastAsia="黑体"/>
          <w:b/>
          <w:color w:val="000000"/>
          <w:sz w:val="24"/>
        </w:rPr>
        <w:t>5.1 首期内容范围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首期规划覆盖 AI 行业、职场、金融、体制内及电商五个分类。内容规模应以编辑审核后的有效词条数量为准，新增分类需满足内容质量和维护能力要求。</w:t>
      </w:r>
    </w:p>
    <w:p>
      <w:pPr>
        <w:pStyle w:val="Heading2"/>
      </w:pPr>
      <w:r>
        <w:rPr>
          <w:rFonts w:ascii="SimHei" w:hAnsi="SimHei" w:eastAsia="黑体"/>
          <w:b/>
          <w:color w:val="000000"/>
          <w:sz w:val="24"/>
        </w:rPr>
        <w:t>5.2 首期范围外事项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普通用户账号、用户主页、评论、私信、收藏同步、投稿审核后台、已发布词条在线编辑、付费会员、任意长文本自动翻译、原生应用及单个访客行为轨迹查询，不纳入首期范围。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首期词条由运营人员维护内容文件并发布。投稿与审核功能的引入，应同步评审内容责任、存储方式、审核流程和运行成本。</w:t>
      </w:r>
    </w:p>
    <w:p>
      <w:pPr>
        <w:pStyle w:val="Heading1"/>
      </w:pPr>
      <w:r>
        <w:rPr>
          <w:rFonts w:ascii="SimHei" w:hAnsi="SimHei" w:eastAsia="黑体"/>
          <w:b/>
          <w:color w:val="000000"/>
          <w:sz w:val="30"/>
        </w:rPr>
        <w:t>6. 核心业务流程</w:t>
      </w:r>
    </w:p>
    <w:p>
      <w:pPr>
        <w:pStyle w:val="Heading2"/>
      </w:pPr>
      <w:r>
        <w:rPr>
          <w:rFonts w:ascii="SimHei" w:hAnsi="SimHei" w:eastAsia="黑体"/>
          <w:b/>
          <w:color w:val="000000"/>
          <w:sz w:val="24"/>
        </w:rPr>
        <w:t>6.1 术语查询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用户进入网站后，可输入关键词或选择分类。搜索结果以词名和简明解释帮助用户判断相关性，详情页进一步提供解释、原句翻译、场景及理解边界。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无结果时应提供修改关键词、切换分类或返回词典的入口。词条不存在时应显示明确提示，不展示空白页面。</w:t>
      </w:r>
    </w:p>
    <w:p>
      <w:pPr>
        <w:pStyle w:val="Heading2"/>
      </w:pPr>
      <w:r>
        <w:rPr>
          <w:rFonts w:ascii="SimHei" w:hAnsi="SimHei" w:eastAsia="黑体"/>
          <w:b/>
          <w:color w:val="000000"/>
          <w:sz w:val="24"/>
        </w:rPr>
        <w:t>6.2 使用反馈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用户阅读词条后，可提交“遇到过”反馈。服务端校验来源和频率后保存投票，返回成功、重复或失败状态，前端据此更新显示。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建议采用北京时间自然日作为限票周期，同一来源 IP 对同一词条每天一票。该方案属于基于网络来源的限制，共享公网 IP 的用户可能共用额度，不等同于严格的一人一票。</w:t>
      </w:r>
    </w:p>
    <w:p>
      <w:pPr>
        <w:pStyle w:val="Heading2"/>
      </w:pPr>
      <w:r>
        <w:rPr>
          <w:rFonts w:ascii="SimHei" w:hAnsi="SimHei" w:eastAsia="黑体"/>
          <w:b/>
          <w:color w:val="000000"/>
          <w:sz w:val="24"/>
        </w:rPr>
        <w:t>6.3 运营数据查看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管理员从独立入口登录，选择统计范围，查看访问、搜索、无结果词和有效投票等数据。退出后应撤销服务端会话。管理入口是否出现在主导航中，不影响接口认证要求。</w:t>
      </w:r>
    </w:p>
    <w:p>
      <w:pPr>
        <w:pStyle w:val="Heading1"/>
      </w:pPr>
      <w:r>
        <w:rPr>
          <w:rFonts w:ascii="SimHei" w:hAnsi="SimHei" w:eastAsia="黑体"/>
          <w:b/>
          <w:color w:val="000000"/>
          <w:sz w:val="30"/>
        </w:rPr>
        <w:t>7. 内容需求</w:t>
      </w:r>
    </w:p>
    <w:p>
      <w:pPr>
        <w:pStyle w:val="Heading2"/>
      </w:pPr>
      <w:r>
        <w:rPr>
          <w:rFonts w:ascii="SimHei" w:hAnsi="SimHei" w:eastAsia="黑体"/>
          <w:b/>
          <w:color w:val="000000"/>
          <w:sz w:val="24"/>
        </w:rPr>
        <w:t>7.1 词条结构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730"/>
        <w:gridCol w:w="4730"/>
      </w:tblGrid>
      <w:tr>
        <w:trPr>
          <w:cantSplit/>
        </w:trPr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字段</w:t>
            </w:r>
          </w:p>
        </w:tc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内容要求</w:t>
            </w:r>
          </w:p>
        </w:tc>
      </w:tr>
      <w:tr>
        <w:trPr>
          <w:cantSplit/>
        </w:trPr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稳定标识</w:t>
            </w:r>
          </w:p>
        </w:tc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用于详情链接及历史数据关联，发布后保持稳定</w:t>
            </w:r>
          </w:p>
        </w:tc>
      </w:tr>
      <w:tr>
        <w:trPr>
          <w:cantSplit/>
        </w:trPr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词条名称与分类</w:t>
            </w:r>
          </w:p>
        </w:tc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名称准确、归类明确</w:t>
            </w:r>
          </w:p>
        </w:tc>
      </w:tr>
      <w:tr>
        <w:trPr>
          <w:cantSplit/>
        </w:trPr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一句话解释</w:t>
            </w:r>
          </w:p>
        </w:tc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使用常用语言表达核心含义</w:t>
            </w:r>
          </w:p>
        </w:tc>
      </w:tr>
      <w:tr>
        <w:trPr>
          <w:cantSplit/>
        </w:trPr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详细解释</w:t>
            </w:r>
          </w:p>
        </w:tc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补充必要机制、背景和上下文</w:t>
            </w:r>
          </w:p>
        </w:tc>
      </w:tr>
      <w:tr>
        <w:trPr>
          <w:cantSplit/>
        </w:trPr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使用原句与翻译</w:t>
            </w:r>
          </w:p>
        </w:tc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原句具有代表性，翻译保留原意</w:t>
            </w:r>
          </w:p>
        </w:tc>
      </w:tr>
      <w:tr>
        <w:trPr>
          <w:cantSplit/>
        </w:trPr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使用场景</w:t>
            </w:r>
          </w:p>
        </w:tc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说明常见出现位置及应用情境</w:t>
            </w:r>
          </w:p>
        </w:tc>
      </w:tr>
      <w:tr>
        <w:trPr>
          <w:cantSplit/>
        </w:trPr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理解边界</w:t>
            </w:r>
          </w:p>
        </w:tc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说明限制条件、歧义和常见误解</w:t>
            </w:r>
          </w:p>
        </w:tc>
      </w:tr>
      <w:tr>
        <w:trPr>
          <w:cantSplit/>
        </w:trPr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别名、缩写与标签</w:t>
            </w:r>
          </w:p>
        </w:tc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支持不同表达方式的检索</w:t>
            </w:r>
          </w:p>
        </w:tc>
      </w:tr>
      <w:tr>
        <w:trPr>
          <w:cantSplit/>
        </w:trPr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编辑来源及维护信息</w:t>
            </w:r>
          </w:p>
        </w:tc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便于内容复核、修订及版本管理</w:t>
            </w:r>
          </w:p>
        </w:tc>
      </w:tr>
    </w:tbl>
    <w:p>
      <w:pPr>
        <w:spacing w:after="0"/>
      </w:pPr>
    </w:p>
    <w:p>
      <w:pPr>
        <w:pStyle w:val="Heading2"/>
      </w:pPr>
      <w:r>
        <w:rPr>
          <w:rFonts w:ascii="SimHei" w:hAnsi="SimHei" w:eastAsia="黑体"/>
          <w:b/>
          <w:color w:val="000000"/>
          <w:sz w:val="24"/>
        </w:rPr>
        <w:t>7.2 内容质量要求</w:t>
      </w:r>
    </w:p>
    <w:p>
      <w:pPr>
        <w:pStyle w:val="ListBullet"/>
      </w:pPr>
      <w:r>
        <w:rPr>
          <w:rFonts w:ascii="Microsoft YaHei" w:hAnsi="Microsoft YaHei" w:eastAsia="微软雅黑"/>
          <w:b w:val="0"/>
          <w:color w:val="000000"/>
          <w:sz w:val="21"/>
        </w:rPr>
        <w:t>解释应准确、简洁，不以其他陌生术语替代说明。</w:t>
      </w:r>
    </w:p>
    <w:p>
      <w:pPr>
        <w:pStyle w:val="ListBullet"/>
      </w:pPr>
      <w:r>
        <w:rPr>
          <w:rFonts w:ascii="Microsoft YaHei" w:hAnsi="Microsoft YaHei" w:eastAsia="微软雅黑"/>
          <w:b w:val="0"/>
          <w:color w:val="000000"/>
          <w:sz w:val="21"/>
        </w:rPr>
        <w:t>原句与翻译应保持语义一致，不省略影响理解的前提。</w:t>
      </w:r>
    </w:p>
    <w:p>
      <w:pPr>
        <w:pStyle w:val="ListBullet"/>
      </w:pPr>
      <w:r>
        <w:rPr>
          <w:rFonts w:ascii="Microsoft YaHei" w:hAnsi="Microsoft YaHei" w:eastAsia="微软雅黑"/>
          <w:b w:val="0"/>
          <w:color w:val="000000"/>
          <w:sz w:val="21"/>
        </w:rPr>
        <w:t>区分专业定义、惯用表达和宣传话术，避免扩大结论。</w:t>
      </w:r>
    </w:p>
    <w:p>
      <w:pPr>
        <w:pStyle w:val="ListBullet"/>
      </w:pPr>
      <w:r>
        <w:rPr>
          <w:rFonts w:ascii="Microsoft YaHei" w:hAnsi="Microsoft YaHei" w:eastAsia="微软雅黑"/>
          <w:b w:val="0"/>
          <w:color w:val="000000"/>
          <w:sz w:val="21"/>
        </w:rPr>
        <w:t>来源材料用于支持核查，不替代针对具体词条的编辑审核。</w:t>
      </w:r>
    </w:p>
    <w:p>
      <w:pPr>
        <w:pStyle w:val="ListBullet"/>
      </w:pPr>
      <w:r>
        <w:rPr>
          <w:rFonts w:ascii="Microsoft YaHei" w:hAnsi="Microsoft YaHei" w:eastAsia="微软雅黑"/>
          <w:b w:val="0"/>
          <w:color w:val="000000"/>
          <w:sz w:val="21"/>
        </w:rPr>
        <w:t>涉及金融等专业领域时，内容限于术语解释，不提供针对个人的决策建议。</w:t>
      </w:r>
    </w:p>
    <w:p>
      <w:pPr>
        <w:pStyle w:val="Heading1"/>
      </w:pPr>
      <w:r>
        <w:rPr>
          <w:rFonts w:ascii="SimHei" w:hAnsi="SimHei" w:eastAsia="黑体"/>
          <w:b/>
          <w:color w:val="000000"/>
          <w:sz w:val="30"/>
        </w:rPr>
        <w:t>8. 统计与隐私需求</w:t>
      </w:r>
    </w:p>
    <w:p>
      <w:pPr>
        <w:pStyle w:val="Heading2"/>
      </w:pPr>
      <w:r>
        <w:rPr>
          <w:rFonts w:ascii="SimHei" w:hAnsi="SimHei" w:eastAsia="黑体"/>
          <w:b/>
          <w:color w:val="000000"/>
          <w:sz w:val="24"/>
        </w:rPr>
        <w:t>8.1 统计指标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154"/>
        <w:gridCol w:w="3154"/>
        <w:gridCol w:w="3154"/>
      </w:tblGrid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指标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统计口径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使用说明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页面浏览量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去重后的有效页面事件数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用于观察内容访问情况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独立访问 IP 数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统计区间内来源摘要去重数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不等同于独立用户人数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搜索次数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去重后的有效搜索事件数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用于分析查询需求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无结果搜索次数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结果为空的有效搜索次数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用于识别内容缺口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有效投票数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服务端接受并持久化的投票数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仅反映站内参与者反馈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投票来源 IP 数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区间内参与投票的来源摘要去重数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不等同于投票人数</w:t>
            </w:r>
          </w:p>
        </w:tc>
      </w:tr>
    </w:tbl>
    <w:p>
      <w:pPr>
        <w:spacing w:after="0"/>
      </w:pPr>
    </w:p>
    <w:p>
      <w:r>
        <w:rPr>
          <w:rFonts w:ascii="Microsoft YaHei" w:hAnsi="Microsoft YaHei" w:eastAsia="微软雅黑"/>
          <w:b w:val="0"/>
          <w:color w:val="000000"/>
          <w:sz w:val="21"/>
        </w:rPr>
        <w:t>无结果搜索率按无结果搜索次数除以搜索次数计算；搜索次数为零时不计算比例。区间独立访问 IP 数应统一去重，不得直接累加每日数值。</w:t>
      </w:r>
    </w:p>
    <w:p>
      <w:pPr>
        <w:pStyle w:val="Heading2"/>
      </w:pPr>
      <w:r>
        <w:rPr>
          <w:rFonts w:ascii="SimHei" w:hAnsi="SimHei" w:eastAsia="黑体"/>
          <w:b/>
          <w:color w:val="000000"/>
          <w:sz w:val="24"/>
        </w:rPr>
        <w:t>8.2 隐私要求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普通用户无需注册，不建立长期浏览器访客标识，不使用设备指纹。来源 IP 在服务端转换为摘要后用于限票和统计，报表不展示原始 IP。搜索文本应进行已知敏感信息脱敏，并提示用户避免提交隐私内容。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访问统计应遵循最小必要原则，不提供个人浏览轨迹查询。数据保留、访问权限及备份方式应在部署方案中明确。</w:t>
      </w:r>
    </w:p>
    <w:p>
      <w:pPr>
        <w:pStyle w:val="Heading1"/>
      </w:pPr>
      <w:r>
        <w:rPr>
          <w:rFonts w:ascii="SimHei" w:hAnsi="SimHei" w:eastAsia="黑体"/>
          <w:b/>
          <w:color w:val="000000"/>
          <w:sz w:val="30"/>
        </w:rPr>
        <w:t>9. 非功能需求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730"/>
        <w:gridCol w:w="4730"/>
      </w:tblGrid>
      <w:tr>
        <w:trPr>
          <w:cantSplit/>
        </w:trPr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要求</w:t>
            </w:r>
          </w:p>
        </w:tc>
      </w:tr>
      <w:tr>
        <w:trPr>
          <w:cantSplit/>
        </w:trPr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易用性</w:t>
            </w:r>
          </w:p>
        </w:tc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手机和桌面均可完成查询、阅读与投票</w:t>
            </w:r>
          </w:p>
        </w:tc>
      </w:tr>
      <w:tr>
        <w:trPr>
          <w:cantSplit/>
        </w:trPr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可访问性</w:t>
            </w:r>
          </w:p>
        </w:tc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主要控件支持键盘操作，具备清晰标签及状态提示</w:t>
            </w:r>
          </w:p>
        </w:tc>
      </w:tr>
      <w:tr>
        <w:trPr>
          <w:cantSplit/>
        </w:trPr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可读性</w:t>
            </w:r>
          </w:p>
        </w:tc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内容层级清楚，动效不干扰阅读，支持减少动画偏好</w:t>
            </w:r>
          </w:p>
        </w:tc>
      </w:tr>
      <w:tr>
        <w:trPr>
          <w:cantSplit/>
        </w:trPr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安全性</w:t>
            </w:r>
          </w:p>
        </w:tc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服务端认证、来源校验、请求限制、限频及会话撤销</w:t>
            </w:r>
          </w:p>
        </w:tc>
      </w:tr>
      <w:tr>
        <w:trPr>
          <w:cantSplit/>
        </w:trPr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可靠性</w:t>
            </w:r>
          </w:p>
        </w:tc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重复请求不重复计票；服务异常不显示为正常零数据</w:t>
            </w:r>
          </w:p>
        </w:tc>
      </w:tr>
      <w:tr>
        <w:trPr>
          <w:cantSplit/>
        </w:trPr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性能</w:t>
            </w:r>
          </w:p>
        </w:tc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列表分页，核心词义支持静态读取；上线前完成性能评估</w:t>
            </w:r>
          </w:p>
        </w:tc>
      </w:tr>
      <w:tr>
        <w:trPr>
          <w:cantSplit/>
        </w:trPr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可维护性</w:t>
            </w:r>
          </w:p>
        </w:tc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内容结构统一，标识稳定，核心规则可自动化测试</w:t>
            </w:r>
          </w:p>
        </w:tc>
      </w:tr>
      <w:tr>
        <w:trPr>
          <w:cantSplit/>
        </w:trPr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具备部署、备份恢复、故障处理及费用监控方案</w:t>
            </w:r>
          </w:p>
        </w:tc>
      </w:tr>
    </w:tbl>
    <w:p>
      <w:pPr>
        <w:spacing w:after="0"/>
      </w:pPr>
    </w:p>
    <w:p>
      <w:pPr>
        <w:pStyle w:val="Heading1"/>
      </w:pPr>
      <w:r>
        <w:rPr>
          <w:rFonts w:ascii="SimHei" w:hAnsi="SimHei" w:eastAsia="黑体"/>
          <w:b/>
          <w:color w:val="000000"/>
          <w:sz w:val="30"/>
        </w:rPr>
        <w:t>10. 技术与运行约束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前端采用静态网站方案，动态能力由独立接口和定时任务提供。业务记录使用私有持久化存储，访问与搜索统计采用 SLS。静态资源、投票记录、统计事件和历史报表分别管理，避免前端发布影响业务数据。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部署前应确认域名、HTTPS、资源地域、可信来源 IP、访问权限及环境配置。容量与费用依据实际数据规模、访问频率和云资源用量评估。</w:t>
      </w:r>
    </w:p>
    <w:p>
      <w:pPr>
        <w:pStyle w:val="Heading1"/>
      </w:pPr>
      <w:r>
        <w:rPr>
          <w:rFonts w:ascii="SimHei" w:hAnsi="SimHei" w:eastAsia="黑体"/>
          <w:b/>
          <w:color w:val="000000"/>
          <w:sz w:val="30"/>
        </w:rPr>
        <w:t>11. 风险与应对措施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154"/>
        <w:gridCol w:w="3154"/>
        <w:gridCol w:w="3154"/>
      </w:tblGrid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风险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影响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应对措施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内容解释失真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用户误解词义或适用条件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人工审核、例句校对、补充理解边界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词库覆盖不足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无结果搜索较多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按搜索缺口安排内容补充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共享 IP 限票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部分用户无法独立投票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明确限制规则和统计口径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认证信息泄露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管理数据或功能被未授权访问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强密码、限频、安全会话和凭证轮换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云端权限配置错误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写入失败、统计不可用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部署预检和真实环境联调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查询量持续增长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响应变慢、成本增加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监控用量，设置扫描预算，评估增量计算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扩展需求增加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交付范围和维护成本扩大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变更评审，明确优先级及验收范围</w:t>
            </w:r>
          </w:p>
        </w:tc>
      </w:tr>
    </w:tbl>
    <w:p>
      <w:pPr>
        <w:spacing w:after="0"/>
      </w:pPr>
    </w:p>
    <w:p>
      <w:pPr>
        <w:pStyle w:val="Heading1"/>
      </w:pPr>
      <w:r>
        <w:rPr>
          <w:rFonts w:ascii="SimHei" w:hAnsi="SimHei" w:eastAsia="黑体"/>
          <w:b/>
          <w:color w:val="000000"/>
          <w:sz w:val="30"/>
        </w:rPr>
        <w:t>12. 实施阶段与验收要求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154"/>
        <w:gridCol w:w="3154"/>
        <w:gridCol w:w="3154"/>
      </w:tblGrid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阶段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主要交付物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阶段验收条件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需求评审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功能范围、业务规则、指标口径及风险清单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核心需求明确，无阻断性分歧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内容与设计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词条规范、示例内容、页面及状态设计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查询与理解路径完整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开发实施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查询、详情、投票、统计与管理端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核心流程及异常规则通过测试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部署联调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云资源、接口、权限及任务配置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真实环境读写及认证正常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发布验收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回归结果、备份恢复和运行检查记录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满足上线条件，遗留问题有处理安排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试运行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使用数据、无结果词及问题清单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能形成明确的内容与功能改进计划</w:t>
            </w:r>
          </w:p>
        </w:tc>
      </w:tr>
    </w:tbl>
    <w:p>
      <w:pPr>
        <w:spacing w:after="0"/>
      </w:pPr>
    </w:p>
    <w:p>
      <w:r>
        <w:rPr>
          <w:rFonts w:ascii="Microsoft YaHei" w:hAnsi="Microsoft YaHei" w:eastAsia="微软雅黑"/>
          <w:b w:val="0"/>
          <w:color w:val="000000"/>
          <w:sz w:val="21"/>
        </w:rPr>
        <w:t>人员分工、实施排期和预算由项目计划统一管理。需求范围发生变化时，应同步更新功能清单、业务规则及验收要求。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52" w:right="1224" w:bottom="1152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88" w:lineRule="auto"/>
    </w:pPr>
    <w:rPr>
      <w:rFonts w:ascii="Microsoft YaHei" w:hAnsi="Microsoft YaHei" w:eastAsia="微软雅黑"/>
      <w:b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88" w:lineRule="auto"/>
      <w:outlineLvl w:val="0"/>
    </w:pPr>
    <w:rPr>
      <w:rFonts w:asciiTheme="majorHAnsi" w:eastAsiaTheme="majorEastAsia" w:hAnsiTheme="majorHAnsi" w:cstheme="majorBidi" w:ascii="SimHei" w:hAnsi="SimHei" w:eastAsia="黑体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88" w:lineRule="auto"/>
      <w:outlineLvl w:val="1"/>
    </w:pPr>
    <w:rPr>
      <w:rFonts w:asciiTheme="majorHAnsi" w:eastAsiaTheme="majorEastAsia" w:hAnsiTheme="majorHAnsi" w:cstheme="majorBidi" w:ascii="SimHei" w:hAnsi="SimHei" w:eastAsia="黑体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88" w:lineRule="auto"/>
      <w:outlineLvl w:val="2"/>
    </w:pPr>
    <w:rPr>
      <w:rFonts w:asciiTheme="majorHAnsi" w:eastAsiaTheme="majorEastAsia" w:hAnsiTheme="majorHAnsi" w:cstheme="majorBidi" w:ascii="SimHei" w:hAnsi="SimHei" w:eastAsia="黑体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88" w:lineRule="auto"/>
      <w:contextualSpacing/>
    </w:pPr>
    <w:rPr>
      <w:rFonts w:asciiTheme="majorHAnsi" w:eastAsiaTheme="majorEastAsia" w:hAnsiTheme="majorHAnsi" w:cstheme="majorBidi" w:ascii="SimHei" w:hAnsi="SimHei" w:eastAsia="黑体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keepNext/>
      <w:spacing w:after="120" w:line="288" w:lineRule="auto"/>
    </w:pPr>
    <w:rPr>
      <w:rFonts w:ascii="Microsoft YaHei" w:hAnsi="Microsoft YaHei" w:eastAsia="微软雅黑"/>
      <w:b w:val="0"/>
      <w:color w:val="000000"/>
      <w:sz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keepNext/>
      <w:numPr>
        <w:numId w:val="1"/>
      </w:numPr>
      <w:spacing w:after="120" w:line="288" w:lineRule="auto"/>
      <w:contextualSpacing/>
    </w:pPr>
    <w:rPr>
      <w:rFonts w:ascii="Microsoft YaHei" w:hAnsi="Microsoft YaHei" w:eastAsia="微软雅黑"/>
      <w:b w:val="0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keepNext/>
      <w:numPr>
        <w:numId w:val="5"/>
      </w:numPr>
      <w:spacing w:after="120" w:line="288" w:lineRule="auto"/>
      <w:contextualSpacing/>
    </w:pPr>
    <w:rPr>
      <w:rFonts w:ascii="Microsoft YaHei" w:hAnsi="Microsoft YaHei" w:eastAsia="微软雅黑"/>
      <w:b w:val="0"/>
      <w:color w:val="000000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01_需求分析说明书_V1.1</dc:title>
  <dc:subject/>
  <dc:creator/>
  <cp:keywords/>
  <dc:description/>
  <cp:lastModifiedBy/>
  <cp:revision>1</cp:revision>
  <cp:category/>
  <cp:version>1.1</cp:version>
</cp:coreProperties>
</file>